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5B4" w:rsidRDefault="00FE65B4" w:rsidP="00000DC5">
      <w:pPr>
        <w:autoSpaceDE w:val="0"/>
        <w:autoSpaceDN w:val="0"/>
        <w:adjustRightInd w:val="0"/>
        <w:ind w:left="284" w:hanging="284"/>
        <w:jc w:val="right"/>
        <w:rPr>
          <w:b/>
          <w:sz w:val="24"/>
          <w:szCs w:val="24"/>
        </w:rPr>
      </w:pPr>
      <w:r>
        <w:rPr>
          <w:b/>
          <w:sz w:val="24"/>
          <w:szCs w:val="24"/>
        </w:rPr>
        <w:t xml:space="preserve">Addendum 2 - Excerpt from </w:t>
      </w:r>
      <w:proofErr w:type="gramStart"/>
      <w:r>
        <w:rPr>
          <w:b/>
          <w:sz w:val="24"/>
          <w:szCs w:val="24"/>
        </w:rPr>
        <w:t>SRDMG(</w:t>
      </w:r>
      <w:proofErr w:type="gramEnd"/>
      <w:r>
        <w:rPr>
          <w:b/>
          <w:sz w:val="24"/>
          <w:szCs w:val="24"/>
        </w:rPr>
        <w:t>12)57 – SRD/MG#54 Minutes</w:t>
      </w:r>
    </w:p>
    <w:p w:rsidR="00FE65B4" w:rsidRDefault="00FE65B4" w:rsidP="00000DC5">
      <w:pPr>
        <w:autoSpaceDE w:val="0"/>
        <w:autoSpaceDN w:val="0"/>
        <w:adjustRightInd w:val="0"/>
        <w:ind w:left="284" w:hanging="284"/>
        <w:jc w:val="both"/>
        <w:rPr>
          <w:b/>
          <w:sz w:val="24"/>
          <w:szCs w:val="24"/>
        </w:rPr>
      </w:pPr>
      <w:bookmarkStart w:id="0" w:name="_GoBack"/>
      <w:bookmarkEnd w:id="0"/>
    </w:p>
    <w:p w:rsidR="00FE65B4" w:rsidRDefault="00FE65B4" w:rsidP="00000DC5">
      <w:pPr>
        <w:autoSpaceDE w:val="0"/>
        <w:autoSpaceDN w:val="0"/>
        <w:adjustRightInd w:val="0"/>
        <w:ind w:left="284" w:hanging="284"/>
        <w:jc w:val="both"/>
        <w:rPr>
          <w:b/>
          <w:sz w:val="24"/>
          <w:szCs w:val="24"/>
        </w:rPr>
      </w:pPr>
    </w:p>
    <w:p w:rsidR="00FE65B4" w:rsidRDefault="00FE65B4" w:rsidP="00000DC5">
      <w:pPr>
        <w:autoSpaceDE w:val="0"/>
        <w:autoSpaceDN w:val="0"/>
        <w:adjustRightInd w:val="0"/>
        <w:ind w:left="284" w:hanging="284"/>
        <w:jc w:val="both"/>
        <w:rPr>
          <w:b/>
          <w:sz w:val="24"/>
          <w:szCs w:val="24"/>
        </w:rPr>
      </w:pPr>
      <w:r>
        <w:rPr>
          <w:b/>
          <w:sz w:val="24"/>
          <w:szCs w:val="24"/>
        </w:rPr>
        <w:t>9 Future UHF spectrum for SRD (including automotive), RFID, smart metering/smart Grids, alarms and social alarm applications</w:t>
      </w:r>
    </w:p>
    <w:p w:rsidR="00FE65B4" w:rsidRDefault="00FE65B4" w:rsidP="00000DC5">
      <w:pPr>
        <w:autoSpaceDE w:val="0"/>
        <w:autoSpaceDN w:val="0"/>
        <w:adjustRightInd w:val="0"/>
        <w:ind w:left="284" w:hanging="284"/>
        <w:jc w:val="both"/>
        <w:rPr>
          <w:b/>
          <w:sz w:val="24"/>
          <w:szCs w:val="24"/>
        </w:rPr>
      </w:pPr>
    </w:p>
    <w:p w:rsidR="00FE65B4" w:rsidRDefault="00FE65B4" w:rsidP="00000DC5">
      <w:pPr>
        <w:autoSpaceDE w:val="0"/>
        <w:autoSpaceDN w:val="0"/>
        <w:adjustRightInd w:val="0"/>
        <w:jc w:val="both"/>
        <w:rPr>
          <w:b/>
          <w:sz w:val="24"/>
          <w:szCs w:val="24"/>
        </w:rPr>
      </w:pPr>
      <w:r>
        <w:rPr>
          <w:b/>
          <w:sz w:val="24"/>
          <w:szCs w:val="24"/>
        </w:rPr>
        <w:t>This agenda item was discussed at SRDMG#54 one full day and a total of thirteen input documents were presented.</w:t>
      </w:r>
    </w:p>
    <w:p w:rsidR="00FE65B4" w:rsidRDefault="00FE65B4" w:rsidP="00000DC5">
      <w:pPr>
        <w:autoSpaceDE w:val="0"/>
        <w:autoSpaceDN w:val="0"/>
        <w:adjustRightInd w:val="0"/>
        <w:jc w:val="both"/>
        <w:rPr>
          <w:b/>
          <w:sz w:val="24"/>
          <w:szCs w:val="24"/>
        </w:rPr>
      </w:pPr>
    </w:p>
    <w:p w:rsidR="00FE65B4" w:rsidRPr="00266C0F" w:rsidRDefault="00FE65B4" w:rsidP="00000DC5">
      <w:pPr>
        <w:autoSpaceDE w:val="0"/>
        <w:autoSpaceDN w:val="0"/>
        <w:adjustRightInd w:val="0"/>
        <w:jc w:val="both"/>
        <w:rPr>
          <w:sz w:val="24"/>
          <w:szCs w:val="24"/>
        </w:rPr>
      </w:pPr>
      <w:proofErr w:type="gramStart"/>
      <w:r w:rsidRPr="00266C0F">
        <w:rPr>
          <w:sz w:val="24"/>
          <w:szCs w:val="24"/>
        </w:rPr>
        <w:t>SRDMG(</w:t>
      </w:r>
      <w:proofErr w:type="gramEnd"/>
      <w:r w:rsidRPr="00266C0F">
        <w:rPr>
          <w:sz w:val="24"/>
          <w:szCs w:val="24"/>
        </w:rPr>
        <w:t>12)08, an input document from PT1, was noted. SRD/MG considered that this subject of LTE is already covered by the on-going studies in PT SE24, Work Item SE24_42 related. OFCOM UK informed the meeting that test facilities have been made available for industry to test their equipment in an LTE environment.</w:t>
      </w:r>
    </w:p>
    <w:p w:rsidR="00FE65B4" w:rsidRDefault="00FE65B4" w:rsidP="00000DC5">
      <w:pPr>
        <w:autoSpaceDE w:val="0"/>
        <w:autoSpaceDN w:val="0"/>
        <w:adjustRightInd w:val="0"/>
        <w:jc w:val="both"/>
        <w:rPr>
          <w:b/>
          <w:sz w:val="24"/>
          <w:szCs w:val="24"/>
        </w:rPr>
      </w:pPr>
    </w:p>
    <w:p w:rsidR="00FE65B4" w:rsidRDefault="00FE65B4" w:rsidP="00000DC5">
      <w:pPr>
        <w:autoSpaceDE w:val="0"/>
        <w:autoSpaceDN w:val="0"/>
        <w:adjustRightInd w:val="0"/>
        <w:jc w:val="both"/>
        <w:rPr>
          <w:sz w:val="24"/>
          <w:szCs w:val="24"/>
        </w:rPr>
      </w:pPr>
      <w:r w:rsidRPr="00266C0F">
        <w:rPr>
          <w:sz w:val="24"/>
          <w:szCs w:val="24"/>
        </w:rPr>
        <w:t xml:space="preserve">The updated UHF Roadmap from the last WGFM meeting in SRDMG(12)26 Annex 1 was noted, in particular the request from WGFM to the SRD/MG to conduct an assessment of the spectrum demand and to discuss frequency options not discussed yet for smart metering and smart grid applications.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A liaison statement from UIC (SRDMG(12)34) was noted in which UIC indicated to be willing to collaborate in the spectrum engineering studies in PT SE24 as well as in the ETSI related Special Task Force work on RFID DAA. The SRD/MG also received a presentation from British Network Railways (</w:t>
      </w:r>
      <w:proofErr w:type="gramStart"/>
      <w:r>
        <w:rPr>
          <w:sz w:val="24"/>
          <w:szCs w:val="24"/>
        </w:rPr>
        <w:t>SRDMG(</w:t>
      </w:r>
      <w:proofErr w:type="gramEnd"/>
      <w:r>
        <w:rPr>
          <w:sz w:val="24"/>
          <w:szCs w:val="24"/>
        </w:rPr>
        <w:t>12)54) that provided use cases for RFID applications for railways. Further information received indicated that railways have considerable interest in using RFID technology for several purposes and have already implemented solutions based on the 865-868 MHz and 2.4 GHz regulations as included in annex 11 of ERC/REC 70-03 and mostly compliant to the ISO 18000 standards (however, not the ERC/REC 70-03 annex 4 AVI regulation, see clause 4.5).</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In response to a question about the remaining lifetime of GSM-R and possible follow-on technologies, the chairman and UIC indicated that up to now, there are neither standardisation activities nor considerations in the UIC WGFM. Since GSM-R is an infrastructure based application and also planned to be used for the ETCS (European Train Control System), and subject to train interoperability considerations, the current estimate is that it will not be replaced before 2025.</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Input document </w:t>
      </w:r>
      <w:proofErr w:type="gramStart"/>
      <w:r>
        <w:rPr>
          <w:sz w:val="24"/>
          <w:szCs w:val="24"/>
        </w:rPr>
        <w:t>SRDMG(</w:t>
      </w:r>
      <w:proofErr w:type="gramEnd"/>
      <w:r>
        <w:rPr>
          <w:sz w:val="24"/>
          <w:szCs w:val="24"/>
        </w:rPr>
        <w:t>12)35Annex 3 from PT SE24 indicated that there is still a lack of information regarding the deployment scenarios and activity factors in a given area for metering/sub-metering and smart grid applications.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draft revised </w:t>
      </w:r>
      <w:proofErr w:type="spellStart"/>
      <w:r>
        <w:rPr>
          <w:sz w:val="24"/>
          <w:szCs w:val="24"/>
        </w:rPr>
        <w:t>ETSI</w:t>
      </w:r>
      <w:proofErr w:type="spellEnd"/>
      <w:r>
        <w:rPr>
          <w:sz w:val="24"/>
          <w:szCs w:val="24"/>
        </w:rPr>
        <w:t xml:space="preserve"> </w:t>
      </w:r>
      <w:proofErr w:type="spellStart"/>
      <w:r>
        <w:rPr>
          <w:sz w:val="24"/>
          <w:szCs w:val="24"/>
        </w:rPr>
        <w:t>SRdoc</w:t>
      </w:r>
      <w:proofErr w:type="spellEnd"/>
      <w:r>
        <w:rPr>
          <w:sz w:val="24"/>
          <w:szCs w:val="24"/>
        </w:rPr>
        <w:t xml:space="preserve"> </w:t>
      </w:r>
      <w:proofErr w:type="spellStart"/>
      <w:r>
        <w:rPr>
          <w:sz w:val="24"/>
          <w:szCs w:val="24"/>
        </w:rPr>
        <w:t>TR</w:t>
      </w:r>
      <w:proofErr w:type="spellEnd"/>
      <w:r>
        <w:rPr>
          <w:sz w:val="24"/>
          <w:szCs w:val="24"/>
        </w:rPr>
        <w:t xml:space="preserve"> 102 649-2, subject to ETSI internal enquiry, was presented. It was noted that in particular the information on RFID and automotive applications had been updated.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It was further noted that some SRD applications such as some automotive applications as well as alarms needed a Predictable Sharing Environment (PSE) while other applications did not. The PSE is related to requirements in terms of low latency, predictable data throughput or safety aspects related to the application.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lastRenderedPageBreak/>
        <w:t xml:space="preserve">The relation to conclusions reached during the 863-870 MHz review as well as the “fifth update” discussions was seen by SRD/MG and this implied to follow strictly the application and technology neutrality rules, also to avoid unnecessary spectrum fragmentation. This was also seen as fostering best innovative products and a way of maximizing the number of equipment which could use the spectrum. In this context, it was also noted that equipment needing a PSE would need to protect itself, e.g. by implementing suitable protocols, receivers and </w:t>
      </w:r>
      <w:proofErr w:type="spellStart"/>
      <w:r>
        <w:rPr>
          <w:sz w:val="24"/>
          <w:szCs w:val="24"/>
        </w:rPr>
        <w:t>adaptivity</w:t>
      </w:r>
      <w:proofErr w:type="spellEnd"/>
      <w:r>
        <w:rPr>
          <w:sz w:val="24"/>
          <w:szCs w:val="24"/>
        </w:rPr>
        <w:t xml:space="preserve"> to changes in the spectrum environment.</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The Netherlands proposed that high power channels in UHF should not be reserved for RFID use only but open to as many applications as possible. After a discussion, it was agreed to consider this but that it was also necessary to keep a certain balance when opening it for other applications.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SRD/MG decided to use the PSE concept as one scenario in the demand assessment. The ETSI EN 300 220 parameters and receiver specifications should be used as a basis when developing the precise optional medium access mechanisms which should be application and technology neutral. New concepts may include Low Duty Cycle and DAA spectrum access. A second principle scenario for SRD was seen as the non-PSE concept.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Several administrations indicated that it may not be possible to implement all or parts of the 870-876 MHz, 915-921 MHz spectrum due to governmental use or PMR/PAMR or service neutral licenses being already awarded.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Regarding governmental use, the UAV operations in 870-873.5 MHz was noted but also the harmonisation efforts as a result of the WRC-12 under agenda item A1.3 in the range 5030-5091 </w:t>
      </w:r>
      <w:proofErr w:type="spellStart"/>
      <w:r>
        <w:rPr>
          <w:sz w:val="24"/>
          <w:szCs w:val="24"/>
        </w:rPr>
        <w:t>MHz.</w:t>
      </w:r>
      <w:proofErr w:type="spellEnd"/>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chairman indicated that individual right-of –use information is also available in the EFIS but the complete information needed some investigation. It was also noted that there are no COTS products/ standards for the bands and that some license holders did not implement services yet or went even bankrupt. The lack of information of the technology in use makes it also difficult to develop a more generic mitigation technique approach such as for the RFID DAA, so it could be used for the protection of a variety of digital cellular/wireless access network implementations.  In addition, there are also no E-GSM-R implementations in the field until now. A questionnaire could help to collect the information and may be considered in the near future but was not developed during the meeting due to the lack of time.  The SRD/MG tasked the chairman to conduct a detailed investigation until the next meeting.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SRD/MG concluded for the time being that the studies in SE24 should be conducted on the principles outlined (application and technology neutrality, i.e. non-specific SRD for both, the PSE and non-PSE case), also to keep the flexibility since it could be that not all countries could implement all or some parts of the bands currently under investigation.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proofErr w:type="gramStart"/>
      <w:r>
        <w:rPr>
          <w:sz w:val="24"/>
          <w:szCs w:val="24"/>
        </w:rPr>
        <w:t>SRDMG(</w:t>
      </w:r>
      <w:proofErr w:type="gramEnd"/>
      <w:r>
        <w:rPr>
          <w:sz w:val="24"/>
          <w:szCs w:val="24"/>
        </w:rPr>
        <w:t xml:space="preserve">12)33,  the new </w:t>
      </w:r>
      <w:proofErr w:type="spellStart"/>
      <w:r>
        <w:rPr>
          <w:sz w:val="24"/>
          <w:szCs w:val="24"/>
        </w:rPr>
        <w:t>ETSI</w:t>
      </w:r>
      <w:proofErr w:type="spellEnd"/>
      <w:r>
        <w:rPr>
          <w:sz w:val="24"/>
          <w:szCs w:val="24"/>
        </w:rPr>
        <w:t xml:space="preserve"> </w:t>
      </w:r>
      <w:proofErr w:type="spellStart"/>
      <w:r>
        <w:rPr>
          <w:sz w:val="24"/>
          <w:szCs w:val="24"/>
        </w:rPr>
        <w:t>SRdoc</w:t>
      </w:r>
      <w:proofErr w:type="spellEnd"/>
      <w:r>
        <w:rPr>
          <w:sz w:val="24"/>
          <w:szCs w:val="24"/>
        </w:rPr>
        <w:t xml:space="preserve"> on the spectrum demand for alarm and social alarm applications was presented. SRD/MG noted the application scenarios as relevant to fall under the PSE scenario and that the expressed demand in the document preferred UHF spectrum. </w:t>
      </w:r>
      <w:r w:rsidRPr="00E53550">
        <w:rPr>
          <w:sz w:val="24"/>
          <w:szCs w:val="24"/>
        </w:rPr>
        <w:t xml:space="preserve">For newer systems, the industry request </w:t>
      </w:r>
      <w:r>
        <w:rPr>
          <w:sz w:val="24"/>
          <w:szCs w:val="24"/>
        </w:rPr>
        <w:t>was</w:t>
      </w:r>
      <w:r w:rsidRPr="00E53550">
        <w:rPr>
          <w:sz w:val="24"/>
          <w:szCs w:val="24"/>
        </w:rPr>
        <w:t xml:space="preserve"> not for spectrum for alarms, but for spectrum in which alarms can function.</w:t>
      </w:r>
      <w:r>
        <w:rPr>
          <w:sz w:val="24"/>
          <w:szCs w:val="24"/>
        </w:rPr>
        <w:t xml:space="preserve"> </w:t>
      </w:r>
      <w:r w:rsidRPr="00E53550">
        <w:rPr>
          <w:sz w:val="24"/>
          <w:szCs w:val="24"/>
        </w:rPr>
        <w:t xml:space="preserve">What </w:t>
      </w:r>
      <w:r>
        <w:rPr>
          <w:sz w:val="24"/>
          <w:szCs w:val="24"/>
        </w:rPr>
        <w:t>was</w:t>
      </w:r>
      <w:r w:rsidRPr="00E53550">
        <w:rPr>
          <w:sz w:val="24"/>
          <w:szCs w:val="24"/>
        </w:rPr>
        <w:t xml:space="preserve"> needed </w:t>
      </w:r>
      <w:r>
        <w:rPr>
          <w:sz w:val="24"/>
          <w:szCs w:val="24"/>
        </w:rPr>
        <w:t>was</w:t>
      </w:r>
      <w:r w:rsidRPr="00E53550">
        <w:rPr>
          <w:sz w:val="24"/>
          <w:szCs w:val="24"/>
        </w:rPr>
        <w:t xml:space="preserve"> not sub-bands exclusive to alarms, but sub-bands in which low duty cycle, low latency, high</w:t>
      </w:r>
      <w:r>
        <w:rPr>
          <w:sz w:val="24"/>
          <w:szCs w:val="24"/>
        </w:rPr>
        <w:t xml:space="preserve"> </w:t>
      </w:r>
      <w:r w:rsidRPr="00E53550">
        <w:rPr>
          <w:sz w:val="24"/>
          <w:szCs w:val="24"/>
        </w:rPr>
        <w:t xml:space="preserve">reliability signalling </w:t>
      </w:r>
      <w:r>
        <w:rPr>
          <w:sz w:val="24"/>
          <w:szCs w:val="24"/>
        </w:rPr>
        <w:t>was</w:t>
      </w:r>
      <w:r w:rsidRPr="00E53550">
        <w:rPr>
          <w:sz w:val="24"/>
          <w:szCs w:val="24"/>
        </w:rPr>
        <w:t xml:space="preserve"> possible.</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lastRenderedPageBreak/>
        <w:t xml:space="preserve">The assessments done on the basis of the 169 MHz questionnaire were found to be confirmed by the </w:t>
      </w:r>
      <w:proofErr w:type="spellStart"/>
      <w:r>
        <w:rPr>
          <w:sz w:val="24"/>
          <w:szCs w:val="24"/>
        </w:rPr>
        <w:t>SRdoc</w:t>
      </w:r>
      <w:proofErr w:type="spellEnd"/>
      <w:r>
        <w:rPr>
          <w:sz w:val="24"/>
          <w:szCs w:val="24"/>
        </w:rPr>
        <w:t xml:space="preserve"> by </w:t>
      </w:r>
      <w:proofErr w:type="spellStart"/>
      <w:r>
        <w:rPr>
          <w:sz w:val="24"/>
          <w:szCs w:val="24"/>
        </w:rPr>
        <w:t>SRD</w:t>
      </w:r>
      <w:proofErr w:type="spellEnd"/>
      <w:r>
        <w:rPr>
          <w:sz w:val="24"/>
          <w:szCs w:val="24"/>
        </w:rPr>
        <w:t>/MG (i.e. dominant part of the market (&gt;95%) for social alarms is nowadays in the 868 MHz frequencies).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A presentation form Discrete Time Communications in </w:t>
      </w:r>
      <w:proofErr w:type="gramStart"/>
      <w:r>
        <w:rPr>
          <w:sz w:val="24"/>
          <w:szCs w:val="24"/>
        </w:rPr>
        <w:t>SRDMG(</w:t>
      </w:r>
      <w:proofErr w:type="gramEnd"/>
      <w:r>
        <w:rPr>
          <w:sz w:val="24"/>
          <w:szCs w:val="24"/>
        </w:rPr>
        <w:t xml:space="preserve">12)36 was received. The document should the status of the work on ETSI TS 102 887-1 in ETSI for smart mesh applications based on IEEE 802.15.4g technology, how such applications could comply with GSM-R and the relation to the work in ETSI STF 411. Regarding the scenarios, SRD/MG noted that there was also the need for some higher operating distances for metering applications to optimise the necessary infrastructure investments (i.e. not only 1) local wireless connections between meter and a local gateway/concentrator but also 2) meter to neighbouring gateway scenario). The need would be for maximum emissions with 100 </w:t>
      </w:r>
      <w:proofErr w:type="spellStart"/>
      <w:r>
        <w:rPr>
          <w:sz w:val="24"/>
          <w:szCs w:val="24"/>
        </w:rPr>
        <w:t>mW</w:t>
      </w:r>
      <w:proofErr w:type="spellEnd"/>
      <w:r>
        <w:rPr>
          <w:sz w:val="24"/>
          <w:szCs w:val="24"/>
        </w:rPr>
        <w:t xml:space="preserve"> and based on LDC spectrum access.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new </w:t>
      </w:r>
      <w:proofErr w:type="spellStart"/>
      <w:r>
        <w:rPr>
          <w:sz w:val="24"/>
          <w:szCs w:val="24"/>
        </w:rPr>
        <w:t>ETSI</w:t>
      </w:r>
      <w:proofErr w:type="spellEnd"/>
      <w:r>
        <w:rPr>
          <w:sz w:val="24"/>
          <w:szCs w:val="24"/>
        </w:rPr>
        <w:t xml:space="preserve"> </w:t>
      </w:r>
      <w:proofErr w:type="spellStart"/>
      <w:r>
        <w:rPr>
          <w:sz w:val="24"/>
          <w:szCs w:val="24"/>
        </w:rPr>
        <w:t>SRdoc</w:t>
      </w:r>
      <w:proofErr w:type="spellEnd"/>
      <w:r>
        <w:rPr>
          <w:sz w:val="24"/>
          <w:szCs w:val="24"/>
        </w:rPr>
        <w:t xml:space="preserve"> </w:t>
      </w:r>
      <w:proofErr w:type="spellStart"/>
      <w:r>
        <w:rPr>
          <w:sz w:val="24"/>
          <w:szCs w:val="24"/>
        </w:rPr>
        <w:t>TR</w:t>
      </w:r>
      <w:proofErr w:type="spellEnd"/>
      <w:r>
        <w:rPr>
          <w:sz w:val="24"/>
          <w:szCs w:val="24"/>
        </w:rPr>
        <w:t xml:space="preserve"> 102 791 was presented.  For the detailed discussion on the document see clause 4.9 of this report. </w:t>
      </w:r>
      <w:r w:rsidRPr="00A70DE6">
        <w:rPr>
          <w:sz w:val="24"/>
          <w:szCs w:val="24"/>
        </w:rPr>
        <w:t xml:space="preserve">Regarding the proposal for 915-921 MHz, it was confirmed by the proponents in SRD/MG that the equipment described in TR 102 791 would follow the concept developed for generic SRD needing a predictable sharing environment and therefore it was concluded that it was not necessary to add this </w:t>
      </w:r>
      <w:proofErr w:type="spellStart"/>
      <w:r w:rsidRPr="00A70DE6">
        <w:rPr>
          <w:sz w:val="24"/>
          <w:szCs w:val="24"/>
        </w:rPr>
        <w:t>SRdoc</w:t>
      </w:r>
      <w:proofErr w:type="spellEnd"/>
      <w:r w:rsidRPr="00A70DE6">
        <w:rPr>
          <w:sz w:val="24"/>
          <w:szCs w:val="24"/>
        </w:rPr>
        <w:t xml:space="preserve"> to the UHF Roadmap.</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Document </w:t>
      </w:r>
      <w:proofErr w:type="gramStart"/>
      <w:r>
        <w:rPr>
          <w:sz w:val="24"/>
          <w:szCs w:val="24"/>
        </w:rPr>
        <w:t>SRDMG(</w:t>
      </w:r>
      <w:proofErr w:type="gramEnd"/>
      <w:r>
        <w:rPr>
          <w:sz w:val="24"/>
          <w:szCs w:val="24"/>
        </w:rPr>
        <w:t xml:space="preserve">12)44 from ISTA and TECHEM on metering/sub-metering and energy data management was presented. SRD/MG noted in particular the information on expected usage densities in hot spot/urban areas to be expected up to 25 000 meter devices per square kilometre and using up to 25 </w:t>
      </w:r>
      <w:proofErr w:type="spellStart"/>
      <w:r>
        <w:rPr>
          <w:sz w:val="24"/>
          <w:szCs w:val="24"/>
        </w:rPr>
        <w:t>mW</w:t>
      </w:r>
      <w:proofErr w:type="spellEnd"/>
      <w:r>
        <w:rPr>
          <w:sz w:val="24"/>
          <w:szCs w:val="24"/>
        </w:rPr>
        <w:t xml:space="preserve"> and </w:t>
      </w:r>
      <w:proofErr w:type="spellStart"/>
      <w:r>
        <w:rPr>
          <w:sz w:val="24"/>
          <w:szCs w:val="24"/>
        </w:rPr>
        <w:t>LDC</w:t>
      </w:r>
      <w:proofErr w:type="spellEnd"/>
      <w:r>
        <w:rPr>
          <w:sz w:val="24"/>
          <w:szCs w:val="24"/>
        </w:rPr>
        <w:t xml:space="preserve"> spectrum access. The scenario expressed in the document was on local wireless sub-metering / metering with 4 channels x 200 to 250 kHz channel bandwidth, dominantly indoors and maximum operating distance of 15 m. Interlinking of concentrators was considered to be done by using cables, WLAN, DECT, PMR/PAMR or public network solutions.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Document </w:t>
      </w:r>
      <w:proofErr w:type="spellStart"/>
      <w:proofErr w:type="gramStart"/>
      <w:r>
        <w:rPr>
          <w:sz w:val="24"/>
          <w:szCs w:val="24"/>
        </w:rPr>
        <w:t>SRDMG</w:t>
      </w:r>
      <w:proofErr w:type="spellEnd"/>
      <w:r>
        <w:rPr>
          <w:sz w:val="24"/>
          <w:szCs w:val="24"/>
        </w:rPr>
        <w:t>(</w:t>
      </w:r>
      <w:proofErr w:type="gramEnd"/>
      <w:r>
        <w:rPr>
          <w:sz w:val="24"/>
          <w:szCs w:val="24"/>
        </w:rPr>
        <w:t xml:space="preserve">12)45 from </w:t>
      </w:r>
      <w:proofErr w:type="spellStart"/>
      <w:r>
        <w:rPr>
          <w:sz w:val="24"/>
          <w:szCs w:val="24"/>
        </w:rPr>
        <w:t>xG</w:t>
      </w:r>
      <w:proofErr w:type="spellEnd"/>
      <w:r>
        <w:rPr>
          <w:sz w:val="24"/>
          <w:szCs w:val="24"/>
        </w:rPr>
        <w:t xml:space="preserve"> technology presented information on a wider area network scenario which could possibly be used for Smart metering/Smart Grids or RFID applications. Such a system with a common control channel is in operation in the 900 MHz ISM band in Florida, USA under unlicensed conditions. The system had DAA and dynamic spectrum access features. The system will also be on trial in the UK in the 2H2012 and results may be provided to the SRD/MG later on.</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The University of Dortmund presented the result of their extensive studies regarding the propagation characteristics of different frequency ranges for smart metering applications (local scenario, meter-to neighbouring gateway scenario or even wide area access to meter scenario) (document SRDMG(12)41). The frequency ranges under investigation included 169 MHz, 450 MHz (PMR/PAMR applications), public mobile in the 900 MHz, 1800 MHz and 2100 MHz range.</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presentation made clear to SRD/MG that there is not the one solution for smart metering and smart grids. It was also noted in the discussions that there are differences amongst countries in Europe. Some have the meters inside and some dominantly outside of the houses installed. The document showed clearly that the additional propagation with increased frequency made it more and more impossible to reach a considerable percentage of meters / client equipment installed indoors or even in basements. </w:t>
      </w:r>
    </w:p>
    <w:p w:rsidR="00FE65B4" w:rsidRDefault="00FE65B4" w:rsidP="00000DC5">
      <w:pPr>
        <w:autoSpaceDE w:val="0"/>
        <w:autoSpaceDN w:val="0"/>
        <w:adjustRightInd w:val="0"/>
        <w:jc w:val="both"/>
        <w:rPr>
          <w:sz w:val="24"/>
          <w:szCs w:val="24"/>
        </w:rPr>
      </w:pPr>
      <w:r>
        <w:rPr>
          <w:sz w:val="24"/>
          <w:szCs w:val="24"/>
        </w:rPr>
        <w:lastRenderedPageBreak/>
        <w:t>From this perspective, it can be concluded that frequencies around 2 GHz (e.g. the Unpaired Bands) can be considered sub-optimal for the usage in urban and suburban areas (only around 20% of all meters could be reached). The results advocated clearly the usage of frequencies below 1 GHz.</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proofErr w:type="gramStart"/>
      <w:r>
        <w:rPr>
          <w:sz w:val="24"/>
          <w:szCs w:val="24"/>
        </w:rPr>
        <w:t>SRDMG(</w:t>
      </w:r>
      <w:proofErr w:type="gramEnd"/>
      <w:r>
        <w:rPr>
          <w:sz w:val="24"/>
          <w:szCs w:val="24"/>
        </w:rPr>
        <w:t xml:space="preserve">12)47 from France also provided suggestions to the alternative frequency opportunities and related scenarios. SRD/MG agreed with France that the smart grid scenario was to be separated from the smart metering / sub-metering scenario.  The ongoing work on 169 MHz for metering applications was noted as well as other suggestions.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Germany proposed to re-consider the frequency range 862-863 for metering/sub-metering wireless applications using LDC characteristics and to launch a questionnaire with the focus to use the 862-863 MHz range for such applications. SRD/MG concurred with this proposal.</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Based on the available input documents and the following discussions, SRD/MG agreed on the following preliminary scenarios and frequency options for further discussions:</w:t>
      </w:r>
    </w:p>
    <w:p w:rsidR="00FE65B4"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sidRPr="00970051">
        <w:rPr>
          <w:sz w:val="24"/>
          <w:szCs w:val="24"/>
        </w:rPr>
        <w:t>The topic of smart metering / smart grid is very complex and must be divided into different areas</w:t>
      </w:r>
      <w:r>
        <w:rPr>
          <w:sz w:val="24"/>
          <w:szCs w:val="24"/>
        </w:rPr>
        <w:t>/scenarios</w:t>
      </w:r>
      <w:r w:rsidRPr="00970051">
        <w:rPr>
          <w:sz w:val="24"/>
          <w:szCs w:val="24"/>
        </w:rPr>
        <w:t>. It is in principle to distinguish between reading meters for electricity, but also gas, heat and water (metering), control of energy networks and the integration of intelligent electric appliances. This cause</w:t>
      </w:r>
      <w:r>
        <w:rPr>
          <w:sz w:val="24"/>
          <w:szCs w:val="24"/>
        </w:rPr>
        <w:t>s</w:t>
      </w:r>
      <w:r w:rsidRPr="00970051">
        <w:rPr>
          <w:sz w:val="24"/>
          <w:szCs w:val="24"/>
        </w:rPr>
        <w:t xml:space="preserve"> various interfaces and several ways of data transmission. Trunked radio and mobile networks to wireless, nationwide read meters </w:t>
      </w:r>
      <w:r>
        <w:rPr>
          <w:sz w:val="24"/>
          <w:szCs w:val="24"/>
        </w:rPr>
        <w:t xml:space="preserve">are </w:t>
      </w:r>
      <w:r w:rsidRPr="00970051">
        <w:rPr>
          <w:sz w:val="24"/>
          <w:szCs w:val="24"/>
        </w:rPr>
        <w:t>suitable within the existing terms and conditions and individual allocations. The integration of renewable power generators and also intelligent electricity into the power grid could be reali</w:t>
      </w:r>
      <w:r>
        <w:rPr>
          <w:sz w:val="24"/>
          <w:szCs w:val="24"/>
        </w:rPr>
        <w:t>s</w:t>
      </w:r>
      <w:r w:rsidRPr="00970051">
        <w:rPr>
          <w:sz w:val="24"/>
          <w:szCs w:val="24"/>
        </w:rPr>
        <w:t>ed with radio equipment of short range on the basis of a general allocation. For purely in-house applications (smart home) already existing radio applications (</w:t>
      </w:r>
      <w:proofErr w:type="spellStart"/>
      <w:r w:rsidRPr="00970051">
        <w:rPr>
          <w:sz w:val="24"/>
          <w:szCs w:val="24"/>
        </w:rPr>
        <w:t>WLAN</w:t>
      </w:r>
      <w:proofErr w:type="spellEnd"/>
      <w:r w:rsidRPr="00970051">
        <w:rPr>
          <w:sz w:val="24"/>
          <w:szCs w:val="24"/>
        </w:rPr>
        <w:t xml:space="preserve">, </w:t>
      </w:r>
      <w:proofErr w:type="spellStart"/>
      <w:r w:rsidRPr="00970051">
        <w:rPr>
          <w:sz w:val="24"/>
          <w:szCs w:val="24"/>
        </w:rPr>
        <w:t>ZigBee</w:t>
      </w:r>
      <w:proofErr w:type="spellEnd"/>
      <w:r w:rsidRPr="00970051">
        <w:rPr>
          <w:sz w:val="24"/>
          <w:szCs w:val="24"/>
        </w:rPr>
        <w:t>) are generally available.</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sidRPr="00970051">
        <w:rPr>
          <w:sz w:val="24"/>
          <w:szCs w:val="24"/>
        </w:rPr>
        <w:t>It must be distinguished (between others)</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proofErr w:type="gramStart"/>
      <w:r w:rsidRPr="00970051">
        <w:rPr>
          <w:sz w:val="24"/>
          <w:szCs w:val="24"/>
        </w:rPr>
        <w:t>a</w:t>
      </w:r>
      <w:proofErr w:type="gramEnd"/>
      <w:r w:rsidRPr="00970051">
        <w:rPr>
          <w:sz w:val="24"/>
          <w:szCs w:val="24"/>
        </w:rPr>
        <w:t>.</w:t>
      </w:r>
      <w:r w:rsidRPr="00970051">
        <w:rPr>
          <w:sz w:val="24"/>
          <w:szCs w:val="24"/>
        </w:rPr>
        <w:tab/>
        <w:t xml:space="preserve">the wireless consumption reading </w:t>
      </w:r>
    </w:p>
    <w:p w:rsidR="00FE65B4" w:rsidRPr="00970051" w:rsidRDefault="00FE65B4" w:rsidP="00000DC5">
      <w:pPr>
        <w:autoSpaceDE w:val="0"/>
        <w:autoSpaceDN w:val="0"/>
        <w:adjustRightInd w:val="0"/>
        <w:jc w:val="both"/>
        <w:rPr>
          <w:sz w:val="24"/>
          <w:szCs w:val="24"/>
        </w:rPr>
      </w:pPr>
      <w:proofErr w:type="gramStart"/>
      <w:r w:rsidRPr="00970051">
        <w:rPr>
          <w:sz w:val="24"/>
          <w:szCs w:val="24"/>
        </w:rPr>
        <w:t>b</w:t>
      </w:r>
      <w:proofErr w:type="gramEnd"/>
      <w:r w:rsidRPr="00970051">
        <w:rPr>
          <w:sz w:val="24"/>
          <w:szCs w:val="24"/>
        </w:rPr>
        <w:t>.</w:t>
      </w:r>
      <w:r w:rsidRPr="00970051">
        <w:rPr>
          <w:sz w:val="24"/>
          <w:szCs w:val="24"/>
        </w:rPr>
        <w:tab/>
        <w:t xml:space="preserve">automatic adjustment of consumption </w:t>
      </w:r>
    </w:p>
    <w:p w:rsidR="00FE65B4" w:rsidRDefault="00FE65B4" w:rsidP="00000DC5">
      <w:pPr>
        <w:autoSpaceDE w:val="0"/>
        <w:autoSpaceDN w:val="0"/>
        <w:adjustRightInd w:val="0"/>
        <w:ind w:left="720" w:hanging="720"/>
        <w:jc w:val="both"/>
        <w:rPr>
          <w:sz w:val="24"/>
          <w:szCs w:val="24"/>
        </w:rPr>
      </w:pPr>
      <w:proofErr w:type="gramStart"/>
      <w:r w:rsidRPr="00970051">
        <w:rPr>
          <w:sz w:val="24"/>
          <w:szCs w:val="24"/>
        </w:rPr>
        <w:t>c</w:t>
      </w:r>
      <w:proofErr w:type="gramEnd"/>
      <w:r w:rsidRPr="00970051">
        <w:rPr>
          <w:sz w:val="24"/>
          <w:szCs w:val="24"/>
        </w:rPr>
        <w:t>.</w:t>
      </w:r>
      <w:r w:rsidRPr="00970051">
        <w:rPr>
          <w:sz w:val="24"/>
          <w:szCs w:val="24"/>
        </w:rPr>
        <w:tab/>
        <w:t>smart grid applications, which have to do primarily with the energy production and distribution.</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sidRPr="00970051">
        <w:rPr>
          <w:sz w:val="24"/>
          <w:szCs w:val="24"/>
        </w:rPr>
        <w:t>(In particular, a) and b) seem to be, since it's a few bytes/h, hardly critical applications, for the most part of indoor, 10-20 meters  to be an SRD theme.</w:t>
      </w:r>
      <w:r>
        <w:rPr>
          <w:sz w:val="24"/>
          <w:szCs w:val="24"/>
        </w:rPr>
        <w:t xml:space="preserve"> Application group c) may require for many functions very reliable communications.</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sidRPr="00970051">
        <w:rPr>
          <w:sz w:val="24"/>
          <w:szCs w:val="24"/>
        </w:rPr>
        <w:t>Dedicated terms of use appear useful, to this SRD to decouple from other SRD applications (e.g. to avoid co-frequent use with continuous transmissions</w:t>
      </w:r>
      <w:r>
        <w:rPr>
          <w:sz w:val="24"/>
          <w:szCs w:val="24"/>
        </w:rPr>
        <w:t xml:space="preserve">, e.g. </w:t>
      </w:r>
      <w:r w:rsidRPr="00970051">
        <w:rPr>
          <w:sz w:val="24"/>
          <w:szCs w:val="24"/>
        </w:rPr>
        <w:t>if any LDC regime or a certain medium access regulation, which excludes for example continuous or transmissions with high activity.</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Pr>
          <w:sz w:val="24"/>
          <w:szCs w:val="24"/>
        </w:rPr>
        <w:t xml:space="preserve">Metering/Sub-Metering </w:t>
      </w:r>
      <w:r w:rsidRPr="00970051">
        <w:rPr>
          <w:sz w:val="24"/>
          <w:szCs w:val="24"/>
        </w:rPr>
        <w:t>one can distinguish between:</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sidRPr="00970051">
        <w:rPr>
          <w:sz w:val="24"/>
          <w:szCs w:val="24"/>
        </w:rPr>
        <w:t>(</w:t>
      </w:r>
      <w:proofErr w:type="gramStart"/>
      <w:r w:rsidRPr="00970051">
        <w:rPr>
          <w:sz w:val="24"/>
          <w:szCs w:val="24"/>
        </w:rPr>
        <w:t>a</w:t>
      </w:r>
      <w:proofErr w:type="gramEnd"/>
      <w:r w:rsidRPr="00970051">
        <w:rPr>
          <w:sz w:val="24"/>
          <w:szCs w:val="24"/>
        </w:rPr>
        <w:t>) meter - home gateway</w:t>
      </w:r>
      <w:r>
        <w:rPr>
          <w:sz w:val="24"/>
          <w:szCs w:val="24"/>
        </w:rPr>
        <w:t xml:space="preserve"> (local scenario)</w:t>
      </w:r>
    </w:p>
    <w:p w:rsidR="00FE65B4" w:rsidRPr="00970051" w:rsidRDefault="00FE65B4" w:rsidP="00000DC5">
      <w:pPr>
        <w:autoSpaceDE w:val="0"/>
        <w:autoSpaceDN w:val="0"/>
        <w:adjustRightInd w:val="0"/>
        <w:ind w:left="1134" w:hanging="1134"/>
        <w:jc w:val="both"/>
        <w:rPr>
          <w:sz w:val="24"/>
          <w:szCs w:val="24"/>
        </w:rPr>
      </w:pPr>
      <w:r w:rsidRPr="00970051">
        <w:rPr>
          <w:sz w:val="24"/>
          <w:szCs w:val="24"/>
        </w:rPr>
        <w:t xml:space="preserve">(b) </w:t>
      </w:r>
      <w:proofErr w:type="gramStart"/>
      <w:r w:rsidRPr="00970051">
        <w:rPr>
          <w:sz w:val="24"/>
          <w:szCs w:val="24"/>
        </w:rPr>
        <w:t>meter</w:t>
      </w:r>
      <w:proofErr w:type="gramEnd"/>
      <w:r w:rsidRPr="00970051">
        <w:rPr>
          <w:sz w:val="24"/>
          <w:szCs w:val="24"/>
        </w:rPr>
        <w:t xml:space="preserve"> -  </w:t>
      </w:r>
      <w:r>
        <w:rPr>
          <w:sz w:val="24"/>
          <w:szCs w:val="24"/>
        </w:rPr>
        <w:t xml:space="preserve">neighbour </w:t>
      </w:r>
      <w:r w:rsidRPr="00970051">
        <w:rPr>
          <w:sz w:val="24"/>
          <w:szCs w:val="24"/>
        </w:rPr>
        <w:t>gateway</w:t>
      </w:r>
      <w:r>
        <w:rPr>
          <w:sz w:val="24"/>
          <w:szCs w:val="24"/>
        </w:rPr>
        <w:t xml:space="preserve"> (local scenario with higher operating range to avoid extensive infrastructure costs)</w:t>
      </w:r>
    </w:p>
    <w:p w:rsidR="00FE65B4" w:rsidRPr="00970051" w:rsidRDefault="00FE65B4" w:rsidP="00000DC5">
      <w:pPr>
        <w:autoSpaceDE w:val="0"/>
        <w:autoSpaceDN w:val="0"/>
        <w:adjustRightInd w:val="0"/>
        <w:jc w:val="both"/>
        <w:rPr>
          <w:sz w:val="24"/>
          <w:szCs w:val="24"/>
        </w:rPr>
      </w:pPr>
      <w:r w:rsidRPr="00970051">
        <w:rPr>
          <w:sz w:val="24"/>
          <w:szCs w:val="24"/>
        </w:rPr>
        <w:t xml:space="preserve">(c) </w:t>
      </w:r>
      <w:proofErr w:type="gramStart"/>
      <w:r w:rsidRPr="00970051">
        <w:rPr>
          <w:sz w:val="24"/>
          <w:szCs w:val="24"/>
        </w:rPr>
        <w:t>meter</w:t>
      </w:r>
      <w:proofErr w:type="gramEnd"/>
      <w:r w:rsidRPr="00970051">
        <w:rPr>
          <w:sz w:val="24"/>
          <w:szCs w:val="24"/>
        </w:rPr>
        <w:t xml:space="preserve"> - network gateway</w:t>
      </w:r>
      <w:r>
        <w:rPr>
          <w:sz w:val="24"/>
          <w:szCs w:val="24"/>
        </w:rPr>
        <w:t xml:space="preserve"> (wide area networks)</w:t>
      </w:r>
    </w:p>
    <w:p w:rsidR="00FE65B4" w:rsidRPr="00970051"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sidRPr="00970051">
        <w:rPr>
          <w:sz w:val="24"/>
          <w:szCs w:val="24"/>
        </w:rPr>
        <w:t>(SRD theme is actually more a) and b)</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The alternative frequency ranges under discussion are:</w:t>
      </w:r>
    </w:p>
    <w:p w:rsidR="00FE65B4" w:rsidRDefault="00FE65B4" w:rsidP="00000DC5">
      <w:pPr>
        <w:autoSpaceDE w:val="0"/>
        <w:autoSpaceDN w:val="0"/>
        <w:adjustRightInd w:val="0"/>
        <w:jc w:val="both"/>
        <w:rPr>
          <w:sz w:val="24"/>
          <w:szCs w:val="24"/>
        </w:rPr>
      </w:pPr>
    </w:p>
    <w:p w:rsidR="00FE65B4" w:rsidRDefault="00FE65B4" w:rsidP="00000DC5">
      <w:pPr>
        <w:numPr>
          <w:ilvl w:val="0"/>
          <w:numId w:val="1"/>
        </w:numPr>
        <w:autoSpaceDE w:val="0"/>
        <w:autoSpaceDN w:val="0"/>
        <w:adjustRightInd w:val="0"/>
        <w:jc w:val="both"/>
        <w:rPr>
          <w:sz w:val="24"/>
          <w:szCs w:val="24"/>
        </w:rPr>
      </w:pPr>
      <w:r>
        <w:rPr>
          <w:sz w:val="24"/>
          <w:szCs w:val="24"/>
        </w:rPr>
        <w:t>169 MHz (work is on-going);</w:t>
      </w:r>
    </w:p>
    <w:p w:rsidR="00FE65B4" w:rsidRDefault="00FE65B4" w:rsidP="00000DC5">
      <w:pPr>
        <w:numPr>
          <w:ilvl w:val="0"/>
          <w:numId w:val="1"/>
        </w:numPr>
        <w:autoSpaceDE w:val="0"/>
        <w:autoSpaceDN w:val="0"/>
        <w:adjustRightInd w:val="0"/>
        <w:jc w:val="both"/>
        <w:rPr>
          <w:sz w:val="24"/>
          <w:szCs w:val="24"/>
        </w:rPr>
      </w:pPr>
      <w:r>
        <w:rPr>
          <w:sz w:val="24"/>
          <w:szCs w:val="24"/>
        </w:rPr>
        <w:t>400 MHz (70 cm band) frequencies used by PMR/PAMR</w:t>
      </w:r>
    </w:p>
    <w:p w:rsidR="00FE65B4" w:rsidRDefault="00FE65B4" w:rsidP="00000DC5">
      <w:pPr>
        <w:numPr>
          <w:ilvl w:val="0"/>
          <w:numId w:val="1"/>
        </w:numPr>
        <w:autoSpaceDE w:val="0"/>
        <w:autoSpaceDN w:val="0"/>
        <w:adjustRightInd w:val="0"/>
        <w:jc w:val="both"/>
        <w:rPr>
          <w:sz w:val="24"/>
          <w:szCs w:val="24"/>
        </w:rPr>
      </w:pPr>
      <w:r>
        <w:rPr>
          <w:sz w:val="24"/>
          <w:szCs w:val="24"/>
        </w:rPr>
        <w:t xml:space="preserve">Public mobile networks </w:t>
      </w:r>
    </w:p>
    <w:p w:rsidR="00FE65B4" w:rsidRDefault="00FE65B4" w:rsidP="00000DC5">
      <w:pPr>
        <w:numPr>
          <w:ilvl w:val="0"/>
          <w:numId w:val="1"/>
        </w:numPr>
        <w:autoSpaceDE w:val="0"/>
        <w:autoSpaceDN w:val="0"/>
        <w:adjustRightInd w:val="0"/>
        <w:jc w:val="both"/>
        <w:rPr>
          <w:sz w:val="24"/>
          <w:szCs w:val="24"/>
        </w:rPr>
      </w:pPr>
      <w:r>
        <w:rPr>
          <w:sz w:val="24"/>
          <w:szCs w:val="24"/>
        </w:rPr>
        <w:t>863-870 MHz (improvements possible?)</w:t>
      </w:r>
    </w:p>
    <w:p w:rsidR="00FE65B4" w:rsidRDefault="00FE65B4" w:rsidP="00000DC5">
      <w:pPr>
        <w:numPr>
          <w:ilvl w:val="0"/>
          <w:numId w:val="1"/>
        </w:numPr>
        <w:autoSpaceDE w:val="0"/>
        <w:autoSpaceDN w:val="0"/>
        <w:adjustRightInd w:val="0"/>
        <w:jc w:val="both"/>
        <w:rPr>
          <w:sz w:val="24"/>
          <w:szCs w:val="24"/>
        </w:rPr>
      </w:pPr>
      <w:r>
        <w:rPr>
          <w:sz w:val="24"/>
          <w:szCs w:val="24"/>
        </w:rPr>
        <w:t>870-876 MHz and 915-921 MHz</w:t>
      </w:r>
    </w:p>
    <w:p w:rsidR="00FE65B4" w:rsidRDefault="00FE65B4" w:rsidP="00000DC5">
      <w:pPr>
        <w:numPr>
          <w:ilvl w:val="0"/>
          <w:numId w:val="1"/>
        </w:numPr>
        <w:autoSpaceDE w:val="0"/>
        <w:autoSpaceDN w:val="0"/>
        <w:adjustRightInd w:val="0"/>
        <w:jc w:val="both"/>
        <w:rPr>
          <w:sz w:val="24"/>
          <w:szCs w:val="24"/>
        </w:rPr>
      </w:pPr>
      <w:r>
        <w:rPr>
          <w:sz w:val="24"/>
          <w:szCs w:val="24"/>
        </w:rPr>
        <w:t>862-863 MHz</w:t>
      </w:r>
    </w:p>
    <w:p w:rsidR="00FE65B4" w:rsidRDefault="00FE65B4" w:rsidP="00000DC5">
      <w:pPr>
        <w:numPr>
          <w:ilvl w:val="0"/>
          <w:numId w:val="1"/>
        </w:numPr>
        <w:autoSpaceDE w:val="0"/>
        <w:autoSpaceDN w:val="0"/>
        <w:adjustRightInd w:val="0"/>
        <w:jc w:val="both"/>
        <w:rPr>
          <w:sz w:val="24"/>
          <w:szCs w:val="24"/>
        </w:rPr>
      </w:pPr>
      <w:r>
        <w:rPr>
          <w:sz w:val="24"/>
          <w:szCs w:val="24"/>
        </w:rPr>
        <w:t>Fixed Links</w:t>
      </w:r>
    </w:p>
    <w:p w:rsidR="00FE65B4" w:rsidRDefault="00FE65B4" w:rsidP="00000DC5">
      <w:pPr>
        <w:numPr>
          <w:ilvl w:val="0"/>
          <w:numId w:val="1"/>
        </w:numPr>
        <w:autoSpaceDE w:val="0"/>
        <w:autoSpaceDN w:val="0"/>
        <w:adjustRightInd w:val="0"/>
        <w:jc w:val="both"/>
        <w:rPr>
          <w:sz w:val="24"/>
          <w:szCs w:val="24"/>
        </w:rPr>
      </w:pPr>
      <w:r>
        <w:rPr>
          <w:sz w:val="24"/>
          <w:szCs w:val="24"/>
        </w:rPr>
        <w:t>Use of 2.4 GHz for some smart metering applications</w:t>
      </w:r>
    </w:p>
    <w:p w:rsidR="00FE65B4" w:rsidRDefault="00FE65B4" w:rsidP="00000DC5">
      <w:pPr>
        <w:numPr>
          <w:ilvl w:val="0"/>
          <w:numId w:val="1"/>
        </w:numPr>
        <w:autoSpaceDE w:val="0"/>
        <w:autoSpaceDN w:val="0"/>
        <w:adjustRightInd w:val="0"/>
        <w:jc w:val="both"/>
        <w:rPr>
          <w:sz w:val="24"/>
          <w:szCs w:val="24"/>
        </w:rPr>
      </w:pPr>
      <w:r>
        <w:rPr>
          <w:sz w:val="24"/>
          <w:szCs w:val="24"/>
        </w:rPr>
        <w:t xml:space="preserve">2 GHz unpaired bands (preliminary assessment is that the bands are </w:t>
      </w:r>
      <w:proofErr w:type="spellStart"/>
      <w:r>
        <w:rPr>
          <w:sz w:val="24"/>
          <w:szCs w:val="24"/>
        </w:rPr>
        <w:t>usb</w:t>
      </w:r>
      <w:proofErr w:type="spellEnd"/>
      <w:r>
        <w:rPr>
          <w:sz w:val="24"/>
          <w:szCs w:val="24"/>
        </w:rPr>
        <w:t>-optimal)</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SRD/MG concluded that there is not one solution for all scenarios.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The SRD/MG proposes to WGFM the creation of a new ECC Report to provide information on the frequency options available for each scenario, to assess the demand based on a methodology using the attributes of a predictable sharing environment concept.</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Preliminary scenarios included are:</w:t>
      </w:r>
    </w:p>
    <w:p w:rsidR="00FE65B4" w:rsidRDefault="00FE65B4" w:rsidP="00000DC5">
      <w:pPr>
        <w:autoSpaceDE w:val="0"/>
        <w:autoSpaceDN w:val="0"/>
        <w:adjustRightInd w:val="0"/>
        <w:jc w:val="both"/>
        <w:rPr>
          <w:sz w:val="24"/>
          <w:szCs w:val="24"/>
        </w:rPr>
      </w:pPr>
    </w:p>
    <w:p w:rsidR="00FE65B4" w:rsidRPr="00C3552B" w:rsidRDefault="00FE65B4" w:rsidP="00000DC5">
      <w:pPr>
        <w:autoSpaceDE w:val="0"/>
        <w:autoSpaceDN w:val="0"/>
        <w:adjustRightInd w:val="0"/>
        <w:jc w:val="both"/>
        <w:rPr>
          <w:sz w:val="24"/>
          <w:szCs w:val="24"/>
        </w:rPr>
      </w:pPr>
      <w:r w:rsidRPr="00C3552B">
        <w:rPr>
          <w:sz w:val="24"/>
          <w:szCs w:val="24"/>
        </w:rPr>
        <w:t>PSE (</w:t>
      </w:r>
      <w:r>
        <w:rPr>
          <w:sz w:val="24"/>
          <w:szCs w:val="24"/>
        </w:rPr>
        <w:t xml:space="preserve">e.g. some </w:t>
      </w:r>
      <w:r w:rsidRPr="00C3552B">
        <w:rPr>
          <w:sz w:val="24"/>
          <w:szCs w:val="24"/>
        </w:rPr>
        <w:t xml:space="preserve">automotive, </w:t>
      </w:r>
      <w:r>
        <w:rPr>
          <w:sz w:val="24"/>
          <w:szCs w:val="24"/>
        </w:rPr>
        <w:t>a</w:t>
      </w:r>
      <w:r w:rsidRPr="00C3552B">
        <w:rPr>
          <w:sz w:val="24"/>
          <w:szCs w:val="24"/>
        </w:rPr>
        <w:t>larms)</w:t>
      </w:r>
      <w:r>
        <w:rPr>
          <w:sz w:val="24"/>
          <w:szCs w:val="24"/>
        </w:rPr>
        <w:t xml:space="preserve"> non-specific SRD;</w:t>
      </w:r>
    </w:p>
    <w:p w:rsidR="00FE65B4" w:rsidRPr="00C3552B" w:rsidRDefault="00FE65B4" w:rsidP="00000DC5">
      <w:pPr>
        <w:autoSpaceDE w:val="0"/>
        <w:autoSpaceDN w:val="0"/>
        <w:adjustRightInd w:val="0"/>
        <w:jc w:val="both"/>
        <w:rPr>
          <w:sz w:val="24"/>
          <w:szCs w:val="24"/>
        </w:rPr>
      </w:pPr>
      <w:r w:rsidRPr="00C3552B">
        <w:rPr>
          <w:sz w:val="24"/>
          <w:szCs w:val="24"/>
        </w:rPr>
        <w:t>RFID</w:t>
      </w:r>
      <w:r>
        <w:rPr>
          <w:sz w:val="24"/>
          <w:szCs w:val="24"/>
        </w:rPr>
        <w:t>;</w:t>
      </w:r>
    </w:p>
    <w:p w:rsidR="00FE65B4" w:rsidRPr="00C3552B" w:rsidRDefault="00FE65B4" w:rsidP="00000DC5">
      <w:pPr>
        <w:autoSpaceDE w:val="0"/>
        <w:autoSpaceDN w:val="0"/>
        <w:adjustRightInd w:val="0"/>
        <w:jc w:val="both"/>
        <w:rPr>
          <w:sz w:val="24"/>
          <w:szCs w:val="24"/>
        </w:rPr>
      </w:pPr>
      <w:r w:rsidRPr="00C3552B">
        <w:rPr>
          <w:sz w:val="24"/>
          <w:szCs w:val="24"/>
        </w:rPr>
        <w:t>Less critical</w:t>
      </w:r>
      <w:r>
        <w:rPr>
          <w:sz w:val="24"/>
          <w:szCs w:val="24"/>
        </w:rPr>
        <w:t xml:space="preserve"> (non-PSE)</w:t>
      </w:r>
      <w:r w:rsidRPr="00C3552B">
        <w:rPr>
          <w:sz w:val="24"/>
          <w:szCs w:val="24"/>
        </w:rPr>
        <w:t xml:space="preserve"> </w:t>
      </w:r>
      <w:r>
        <w:rPr>
          <w:sz w:val="24"/>
          <w:szCs w:val="24"/>
        </w:rPr>
        <w:t xml:space="preserve">non-specific </w:t>
      </w:r>
      <w:r w:rsidRPr="00C3552B">
        <w:rPr>
          <w:sz w:val="24"/>
          <w:szCs w:val="24"/>
        </w:rPr>
        <w:t>SRD</w:t>
      </w:r>
      <w:r>
        <w:rPr>
          <w:sz w:val="24"/>
          <w:szCs w:val="24"/>
        </w:rPr>
        <w:t>;</w:t>
      </w:r>
    </w:p>
    <w:p w:rsidR="00FE65B4" w:rsidRPr="00C3552B" w:rsidRDefault="00FE65B4" w:rsidP="00000DC5">
      <w:pPr>
        <w:autoSpaceDE w:val="0"/>
        <w:autoSpaceDN w:val="0"/>
        <w:adjustRightInd w:val="0"/>
        <w:jc w:val="both"/>
        <w:rPr>
          <w:sz w:val="24"/>
          <w:szCs w:val="24"/>
        </w:rPr>
      </w:pPr>
      <w:r w:rsidRPr="00C3552B">
        <w:rPr>
          <w:sz w:val="24"/>
          <w:szCs w:val="24"/>
        </w:rPr>
        <w:t>Meter – local gateway (</w:t>
      </w:r>
      <w:proofErr w:type="spellStart"/>
      <w:r w:rsidRPr="00C3552B">
        <w:rPr>
          <w:sz w:val="24"/>
          <w:szCs w:val="24"/>
        </w:rPr>
        <w:t>sub.metering</w:t>
      </w:r>
      <w:proofErr w:type="spellEnd"/>
      <w:r w:rsidRPr="00C3552B">
        <w:rPr>
          <w:sz w:val="24"/>
          <w:szCs w:val="24"/>
        </w:rPr>
        <w:t>/metering), indoor scenario</w:t>
      </w:r>
      <w:r>
        <w:rPr>
          <w:sz w:val="24"/>
          <w:szCs w:val="24"/>
        </w:rPr>
        <w:t>;</w:t>
      </w:r>
    </w:p>
    <w:p w:rsidR="00FE65B4" w:rsidRPr="00C3552B" w:rsidRDefault="00FE65B4" w:rsidP="00000DC5">
      <w:pPr>
        <w:autoSpaceDE w:val="0"/>
        <w:autoSpaceDN w:val="0"/>
        <w:adjustRightInd w:val="0"/>
        <w:jc w:val="both"/>
        <w:rPr>
          <w:sz w:val="24"/>
          <w:szCs w:val="24"/>
        </w:rPr>
      </w:pPr>
      <w:proofErr w:type="gramStart"/>
      <w:r w:rsidRPr="00C3552B">
        <w:rPr>
          <w:sz w:val="24"/>
          <w:szCs w:val="24"/>
        </w:rPr>
        <w:t>Meter  -</w:t>
      </w:r>
      <w:proofErr w:type="gramEnd"/>
      <w:r w:rsidRPr="00C3552B">
        <w:rPr>
          <w:sz w:val="24"/>
          <w:szCs w:val="24"/>
        </w:rPr>
        <w:t xml:space="preserve"> </w:t>
      </w:r>
      <w:proofErr w:type="spellStart"/>
      <w:r w:rsidRPr="00C3552B">
        <w:rPr>
          <w:sz w:val="24"/>
          <w:szCs w:val="24"/>
        </w:rPr>
        <w:t>neigbouring</w:t>
      </w:r>
      <w:proofErr w:type="spellEnd"/>
      <w:r w:rsidRPr="00C3552B">
        <w:rPr>
          <w:sz w:val="24"/>
          <w:szCs w:val="24"/>
        </w:rPr>
        <w:t xml:space="preserve">  gateway (up to several hundred of meters)</w:t>
      </w:r>
      <w:r>
        <w:rPr>
          <w:sz w:val="24"/>
          <w:szCs w:val="24"/>
        </w:rPr>
        <w:t>;</w:t>
      </w:r>
    </w:p>
    <w:p w:rsidR="00FE65B4" w:rsidRPr="00C3552B" w:rsidRDefault="00FE65B4" w:rsidP="00000DC5">
      <w:pPr>
        <w:autoSpaceDE w:val="0"/>
        <w:autoSpaceDN w:val="0"/>
        <w:adjustRightInd w:val="0"/>
        <w:jc w:val="both"/>
        <w:rPr>
          <w:sz w:val="24"/>
          <w:szCs w:val="24"/>
        </w:rPr>
      </w:pPr>
      <w:r w:rsidRPr="00C3552B">
        <w:rPr>
          <w:sz w:val="24"/>
          <w:szCs w:val="24"/>
        </w:rPr>
        <w:t xml:space="preserve">Meter to any gateway in a </w:t>
      </w:r>
      <w:r>
        <w:rPr>
          <w:sz w:val="24"/>
          <w:szCs w:val="24"/>
        </w:rPr>
        <w:t>Wide Area Network;</w:t>
      </w:r>
    </w:p>
    <w:p w:rsidR="00FE65B4" w:rsidRPr="00C3552B" w:rsidRDefault="00FE65B4" w:rsidP="00000DC5">
      <w:pPr>
        <w:autoSpaceDE w:val="0"/>
        <w:autoSpaceDN w:val="0"/>
        <w:adjustRightInd w:val="0"/>
        <w:jc w:val="both"/>
        <w:rPr>
          <w:sz w:val="24"/>
          <w:szCs w:val="24"/>
        </w:rPr>
      </w:pPr>
      <w:proofErr w:type="spellStart"/>
      <w:r w:rsidRPr="00C3552B">
        <w:rPr>
          <w:sz w:val="24"/>
          <w:szCs w:val="24"/>
        </w:rPr>
        <w:t>Smard</w:t>
      </w:r>
      <w:proofErr w:type="spellEnd"/>
      <w:r w:rsidRPr="00C3552B">
        <w:rPr>
          <w:sz w:val="24"/>
          <w:szCs w:val="24"/>
        </w:rPr>
        <w:t xml:space="preserve"> Grids -&gt; all utilities, e.g. generation of electricity in a network with many decentralised generators (windmills, photovoltaic, other generators)</w:t>
      </w:r>
      <w:r>
        <w:rPr>
          <w:sz w:val="24"/>
          <w:szCs w:val="24"/>
        </w:rPr>
        <w:t>;</w:t>
      </w:r>
    </w:p>
    <w:p w:rsidR="00FE65B4" w:rsidRDefault="00FE65B4" w:rsidP="00000DC5">
      <w:pPr>
        <w:autoSpaceDE w:val="0"/>
        <w:autoSpaceDN w:val="0"/>
        <w:adjustRightInd w:val="0"/>
        <w:jc w:val="both"/>
        <w:rPr>
          <w:b/>
          <w:sz w:val="24"/>
          <w:szCs w:val="24"/>
        </w:rPr>
      </w:pPr>
    </w:p>
    <w:p w:rsidR="00FE65B4" w:rsidRDefault="00FE65B4" w:rsidP="00000DC5">
      <w:pPr>
        <w:autoSpaceDE w:val="0"/>
        <w:autoSpaceDN w:val="0"/>
        <w:adjustRightInd w:val="0"/>
        <w:jc w:val="both"/>
        <w:rPr>
          <w:sz w:val="24"/>
          <w:szCs w:val="24"/>
        </w:rPr>
      </w:pPr>
      <w:r w:rsidRPr="00D61A00">
        <w:rPr>
          <w:sz w:val="24"/>
          <w:szCs w:val="24"/>
        </w:rPr>
        <w:t xml:space="preserve">Individual applications will be checked and categorised against their requirements in terms of low latency, cost, predictability/reliability of communications, high speed data requirements, etc.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SRD/MG updated the UHF Roadmap accordingly and WGFM is requested to endorse the </w:t>
      </w:r>
      <w:r w:rsidRPr="00D61A00">
        <w:rPr>
          <w:b/>
          <w:sz w:val="24"/>
          <w:szCs w:val="24"/>
        </w:rPr>
        <w:t>updated UHF Roadmap as in annex 2 of the present report</w:t>
      </w:r>
      <w:r>
        <w:rPr>
          <w:sz w:val="24"/>
          <w:szCs w:val="24"/>
        </w:rPr>
        <w:t xml:space="preserve">.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The SRD/MG does not propose additional new spectrum engineering studies in relation to the roadmap (noting that work is on-going regarding 169 MHz). Item 3 of the roadmap is therefore unchanged.</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SRD/MG also proposes to WGFM the adoption of a questionnaire for the band </w:t>
      </w:r>
      <w:r w:rsidRPr="00D61A00">
        <w:rPr>
          <w:b/>
          <w:sz w:val="24"/>
          <w:szCs w:val="24"/>
        </w:rPr>
        <w:t>862-863 MHz a questionnaire as in annex 15 of the present report</w:t>
      </w:r>
      <w:r>
        <w:rPr>
          <w:sz w:val="24"/>
          <w:szCs w:val="24"/>
        </w:rPr>
        <w:t xml:space="preserve">.   </w:t>
      </w:r>
      <w:r w:rsidRPr="00D61A00">
        <w:rPr>
          <w:sz w:val="24"/>
          <w:szCs w:val="24"/>
        </w:rPr>
        <w:t>862 – 863 MHz could potentially be regarded as an option for SRD applications with a very low duty cycle such as wireless metering/sub-metering applications.</w:t>
      </w:r>
    </w:p>
    <w:p w:rsidR="00810464" w:rsidRDefault="00810464" w:rsidP="00000DC5">
      <w:pPr>
        <w:jc w:val="both"/>
      </w:pPr>
    </w:p>
    <w:sectPr w:rsidR="00810464" w:rsidSect="006B08F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73902"/>
    <w:multiLevelType w:val="hybridMultilevel"/>
    <w:tmpl w:val="66A89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E65B4"/>
    <w:rsid w:val="00000DC5"/>
    <w:rsid w:val="006B08FF"/>
    <w:rsid w:val="00810464"/>
    <w:rsid w:val="00C348B1"/>
    <w:rsid w:val="00FE65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5B4"/>
    <w:pPr>
      <w:spacing w:after="0" w:line="240" w:lineRule="auto"/>
    </w:pPr>
    <w:rPr>
      <w:rFonts w:ascii="Times New Roman" w:eastAsia="Times New Roman" w:hAnsi="Times New Roman" w:cs="Times New Roman"/>
      <w:sz w:val="20"/>
      <w:szCs w:val="20"/>
      <w:lang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5B4"/>
    <w:pPr>
      <w:spacing w:after="0" w:line="240" w:lineRule="auto"/>
    </w:pPr>
    <w:rPr>
      <w:rFonts w:ascii="Times New Roman" w:eastAsia="Times New Roman" w:hAnsi="Times New Roman" w:cs="Times New Roman"/>
      <w:sz w:val="20"/>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2204</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14744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shurakhov</cp:lastModifiedBy>
  <cp:revision>3</cp:revision>
  <dcterms:created xsi:type="dcterms:W3CDTF">2012-04-26T07:11:00Z</dcterms:created>
  <dcterms:modified xsi:type="dcterms:W3CDTF">2012-05-03T08:10:00Z</dcterms:modified>
</cp:coreProperties>
</file>